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0A36" w:rsidRDefault="00D80A36">
      <w:pPr>
        <w:autoSpaceDN w:val="0"/>
        <w:jc w:val="center"/>
        <w:rPr>
          <w:rFonts w:ascii="宋体" w:hAnsi="宋体" w:hint="eastAsia"/>
          <w:b/>
          <w:bCs/>
          <w:sz w:val="28"/>
        </w:rPr>
      </w:pPr>
      <w:r>
        <w:rPr>
          <w:rFonts w:ascii="宋体" w:hAnsi="宋体"/>
          <w:b/>
          <w:sz w:val="36"/>
        </w:rPr>
        <w:t>3E薪资设计（以岗定级、以人定档）与奖金、提成培训</w:t>
      </w:r>
    </w:p>
    <w:p w:rsidR="00963DA3" w:rsidRDefault="00963DA3" w:rsidP="00963DA3">
      <w:pPr>
        <w:rPr>
          <w:rFonts w:hint="eastAsia"/>
          <w:b/>
          <w:bCs/>
        </w:rPr>
      </w:pPr>
    </w:p>
    <w:p w:rsidR="00963DA3" w:rsidRPr="00963DA3" w:rsidRDefault="00963DA3" w:rsidP="00963DA3">
      <w:pPr>
        <w:rPr>
          <w:rFonts w:hint="eastAsia"/>
          <w:b/>
          <w:bCs/>
        </w:rPr>
      </w:pPr>
      <w:r w:rsidRPr="00963DA3">
        <w:rPr>
          <w:rFonts w:hint="eastAsia"/>
          <w:b/>
          <w:bCs/>
        </w:rPr>
        <w:t>报名咨询电话：</w:t>
      </w:r>
      <w:r w:rsidRPr="00963DA3">
        <w:rPr>
          <w:rFonts w:hint="eastAsia"/>
          <w:b/>
          <w:bCs/>
        </w:rPr>
        <w:t xml:space="preserve">0755-61288035   010-51661863   021-31261580 </w:t>
      </w:r>
    </w:p>
    <w:p w:rsidR="00D80A36" w:rsidRDefault="00963DA3" w:rsidP="00963DA3">
      <w:pPr>
        <w:rPr>
          <w:b/>
          <w:bCs/>
        </w:rPr>
      </w:pPr>
      <w:r w:rsidRPr="00963DA3">
        <w:rPr>
          <w:rFonts w:hint="eastAsia"/>
          <w:b/>
          <w:bCs/>
        </w:rPr>
        <w:t>在线咨询</w:t>
      </w:r>
      <w:r w:rsidRPr="00963DA3">
        <w:rPr>
          <w:rFonts w:hint="eastAsia"/>
          <w:b/>
          <w:bCs/>
        </w:rPr>
        <w:t xml:space="preserve"> QQ</w:t>
      </w:r>
      <w:r w:rsidRPr="00963DA3">
        <w:rPr>
          <w:rFonts w:hint="eastAsia"/>
          <w:b/>
          <w:bCs/>
        </w:rPr>
        <w:t>：</w:t>
      </w:r>
      <w:r w:rsidRPr="00963DA3">
        <w:rPr>
          <w:rFonts w:hint="eastAsia"/>
          <w:b/>
          <w:bCs/>
        </w:rPr>
        <w:t xml:space="preserve">6983436   </w:t>
      </w:r>
      <w:r w:rsidRPr="00963DA3">
        <w:rPr>
          <w:rFonts w:hint="eastAsia"/>
          <w:b/>
          <w:bCs/>
        </w:rPr>
        <w:t>报名信箱：</w:t>
      </w:r>
      <w:r w:rsidRPr="00963DA3">
        <w:rPr>
          <w:rFonts w:hint="eastAsia"/>
          <w:b/>
          <w:bCs/>
        </w:rPr>
        <w:t>6983436@qq.com  (</w:t>
      </w:r>
      <w:r w:rsidRPr="00963DA3">
        <w:rPr>
          <w:rFonts w:hint="eastAsia"/>
          <w:b/>
          <w:bCs/>
        </w:rPr>
        <w:t>报名请回复尾末报名表）</w:t>
      </w:r>
    </w:p>
    <w:p w:rsidR="00D80A36" w:rsidRDefault="00D80A36">
      <w:pPr>
        <w:rPr>
          <w:rFonts w:hint="eastAsia"/>
          <w:b/>
          <w:bCs/>
        </w:rPr>
      </w:pPr>
    </w:p>
    <w:p w:rsidR="00D80A36" w:rsidRPr="00963DA3" w:rsidRDefault="00D80A36">
      <w:pPr>
        <w:autoSpaceDN w:val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时间地点</w:t>
      </w:r>
      <w:r>
        <w:rPr>
          <w:b/>
          <w:bCs/>
          <w:szCs w:val="21"/>
        </w:rPr>
        <w:t>：</w:t>
      </w:r>
      <w:r w:rsidRPr="00963DA3">
        <w:rPr>
          <w:b/>
          <w:sz w:val="24"/>
          <w:szCs w:val="24"/>
        </w:rPr>
        <w:t>4</w:t>
      </w:r>
      <w:r w:rsidRPr="00963DA3">
        <w:rPr>
          <w:b/>
          <w:sz w:val="24"/>
          <w:szCs w:val="24"/>
        </w:rPr>
        <w:t>月</w:t>
      </w:r>
      <w:r w:rsidRPr="00963DA3">
        <w:rPr>
          <w:b/>
          <w:sz w:val="24"/>
          <w:szCs w:val="24"/>
        </w:rPr>
        <w:t>15-16</w:t>
      </w:r>
      <w:r w:rsidRPr="00963DA3">
        <w:rPr>
          <w:b/>
          <w:sz w:val="24"/>
          <w:szCs w:val="24"/>
        </w:rPr>
        <w:t>日上海</w:t>
      </w:r>
      <w:r w:rsidR="00963DA3" w:rsidRPr="00963DA3">
        <w:rPr>
          <w:rFonts w:hint="eastAsia"/>
          <w:b/>
          <w:sz w:val="24"/>
          <w:szCs w:val="24"/>
        </w:rPr>
        <w:t xml:space="preserve">    </w:t>
      </w:r>
      <w:r w:rsidRPr="00963DA3">
        <w:rPr>
          <w:b/>
          <w:sz w:val="24"/>
          <w:szCs w:val="24"/>
        </w:rPr>
        <w:t>4</w:t>
      </w:r>
      <w:r w:rsidRPr="00963DA3">
        <w:rPr>
          <w:b/>
          <w:sz w:val="24"/>
          <w:szCs w:val="24"/>
        </w:rPr>
        <w:t>月</w:t>
      </w:r>
      <w:r w:rsidRPr="00963DA3">
        <w:rPr>
          <w:b/>
          <w:sz w:val="24"/>
          <w:szCs w:val="24"/>
        </w:rPr>
        <w:t>22-23</w:t>
      </w:r>
      <w:r w:rsidRPr="00963DA3">
        <w:rPr>
          <w:b/>
          <w:sz w:val="24"/>
          <w:szCs w:val="24"/>
        </w:rPr>
        <w:t>日深圳</w:t>
      </w:r>
      <w:r w:rsidR="00963DA3" w:rsidRPr="00963DA3">
        <w:rPr>
          <w:rFonts w:hint="eastAsia"/>
          <w:b/>
          <w:sz w:val="24"/>
          <w:szCs w:val="24"/>
        </w:rPr>
        <w:t xml:space="preserve">     </w:t>
      </w:r>
      <w:r w:rsidRPr="00963DA3">
        <w:rPr>
          <w:rFonts w:hint="eastAsia"/>
          <w:b/>
          <w:sz w:val="24"/>
          <w:szCs w:val="24"/>
        </w:rPr>
        <w:t>5</w:t>
      </w:r>
      <w:r w:rsidRPr="00963DA3">
        <w:rPr>
          <w:rFonts w:hint="eastAsia"/>
          <w:b/>
          <w:sz w:val="24"/>
          <w:szCs w:val="24"/>
        </w:rPr>
        <w:t>月</w:t>
      </w:r>
      <w:r w:rsidRPr="00963DA3">
        <w:rPr>
          <w:rFonts w:hint="eastAsia"/>
          <w:b/>
          <w:sz w:val="24"/>
          <w:szCs w:val="24"/>
        </w:rPr>
        <w:t>12-13</w:t>
      </w:r>
      <w:r w:rsidRPr="00963DA3">
        <w:rPr>
          <w:rFonts w:hint="eastAsia"/>
          <w:b/>
          <w:sz w:val="24"/>
          <w:szCs w:val="24"/>
        </w:rPr>
        <w:t>日北京</w:t>
      </w:r>
    </w:p>
    <w:p w:rsidR="00D80A36" w:rsidRPr="00963DA3" w:rsidRDefault="00D80A36" w:rsidP="00963DA3">
      <w:pPr>
        <w:autoSpaceDN w:val="0"/>
        <w:rPr>
          <w:rFonts w:hint="eastAsia"/>
          <w:szCs w:val="21"/>
        </w:rPr>
      </w:pPr>
      <w:r>
        <w:rPr>
          <w:rFonts w:hint="eastAsia"/>
          <w:b/>
        </w:rPr>
        <w:t>学员对象：</w:t>
      </w:r>
      <w:r>
        <w:t>渴望规范和提升人力资源薪酬管理的董事长、总（副）经理、</w:t>
      </w:r>
      <w:r>
        <w:t xml:space="preserve"> HR</w:t>
      </w:r>
      <w:r>
        <w:rPr>
          <w:rFonts w:ascii="宋体" w:hAnsi="宋体"/>
        </w:rPr>
        <w:t>总监、经理；薪资福利经理、专员；高层经理等参加。</w:t>
      </w:r>
    </w:p>
    <w:p w:rsidR="00D80A36" w:rsidRPr="00963DA3" w:rsidRDefault="00D80A36" w:rsidP="00963DA3">
      <w:pPr>
        <w:rPr>
          <w:rFonts w:hint="eastAsia"/>
        </w:rPr>
      </w:pPr>
      <w:r>
        <w:rPr>
          <w:rFonts w:hint="eastAsia"/>
          <w:b/>
        </w:rPr>
        <w:t>费　　用：</w:t>
      </w:r>
      <w:r>
        <w:rPr>
          <w:rFonts w:hint="eastAsia"/>
        </w:rPr>
        <w:t>4500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</w:t>
      </w:r>
      <w:r>
        <w:rPr>
          <w:rFonts w:hint="eastAsia"/>
        </w:rPr>
        <w:t xml:space="preserve"> (</w:t>
      </w:r>
      <w:r>
        <w:rPr>
          <w:rFonts w:hint="eastAsia"/>
        </w:rPr>
        <w:t>包含：课程、讲义、午餐、茶点等费用</w:t>
      </w:r>
      <w:r>
        <w:rPr>
          <w:rFonts w:hint="eastAsia"/>
        </w:rPr>
        <w:t>),</w:t>
      </w:r>
      <w:r>
        <w:rPr>
          <w:rFonts w:hint="eastAsia"/>
        </w:rPr>
        <w:t>上课可获得《张守春</w:t>
      </w:r>
      <w:r>
        <w:rPr>
          <w:rFonts w:hint="eastAsia"/>
        </w:rPr>
        <w:t>3E</w:t>
      </w:r>
      <w:r>
        <w:rPr>
          <w:rFonts w:hint="eastAsia"/>
        </w:rPr>
        <w:t>薪酬设计》一书，以及免费赠送价值</w:t>
      </w:r>
      <w:r>
        <w:rPr>
          <w:rFonts w:hint="eastAsia"/>
        </w:rPr>
        <w:t>1980</w:t>
      </w:r>
      <w:r>
        <w:rPr>
          <w:rFonts w:hint="eastAsia"/>
        </w:rPr>
        <w:t>元的岗位测评软件和要素。</w:t>
      </w:r>
    </w:p>
    <w:p w:rsidR="00D80A36" w:rsidRDefault="00D80A36">
      <w:pPr>
        <w:autoSpaceDN w:val="0"/>
        <w:rPr>
          <w:b/>
          <w:bCs/>
        </w:rPr>
      </w:pPr>
      <w:r>
        <w:rPr>
          <w:b/>
          <w:bCs/>
        </w:rPr>
        <w:t>课程介绍</w:t>
      </w:r>
      <w:r>
        <w:rPr>
          <w:rFonts w:hint="eastAsia"/>
          <w:b/>
          <w:bCs/>
        </w:rPr>
        <w:t>：</w:t>
      </w:r>
    </w:p>
    <w:p w:rsidR="00D80A36" w:rsidRDefault="00D80A36">
      <w:pPr>
        <w:snapToGrid w:val="0"/>
        <w:spacing w:before="100" w:after="100" w:line="276" w:lineRule="auto"/>
        <w:jc w:val="left"/>
        <w:rPr>
          <w:sz w:val="20"/>
        </w:rPr>
      </w:pPr>
      <w:r>
        <w:t xml:space="preserve">　</w:t>
      </w:r>
      <w:r>
        <w:rPr>
          <w:rFonts w:cs="宋体"/>
          <w:color w:val="000000"/>
          <w:szCs w:val="21"/>
        </w:rPr>
        <w:tab/>
      </w:r>
      <w:r>
        <w:rPr>
          <w:rFonts w:cs="宋体"/>
          <w:color w:val="000000"/>
          <w:szCs w:val="21"/>
        </w:rPr>
        <w:t>本课程是张守春老师基于</w:t>
      </w:r>
      <w:r>
        <w:rPr>
          <w:rFonts w:cs="宋体"/>
          <w:color w:val="000000"/>
          <w:szCs w:val="21"/>
        </w:rPr>
        <w:t>3E</w:t>
      </w:r>
      <w:r>
        <w:rPr>
          <w:rFonts w:cs="宋体"/>
          <w:color w:val="000000"/>
          <w:szCs w:val="21"/>
        </w:rPr>
        <w:t>、</w:t>
      </w:r>
      <w:r>
        <w:rPr>
          <w:rFonts w:cs="宋体"/>
          <w:color w:val="000000"/>
          <w:szCs w:val="21"/>
        </w:rPr>
        <w:t>3P</w:t>
      </w:r>
      <w:r>
        <w:rPr>
          <w:rFonts w:cs="宋体"/>
          <w:color w:val="000000"/>
          <w:szCs w:val="21"/>
        </w:rPr>
        <w:t>等宽带薪酬设计模式，结合百度、阿里等知名企业的薪酬设计实践，推出的</w:t>
      </w:r>
      <w:r>
        <w:rPr>
          <w:rFonts w:cs="宋体"/>
          <w:color w:val="000000"/>
          <w:szCs w:val="21"/>
        </w:rPr>
        <w:t>“</w:t>
      </w:r>
      <w:r>
        <w:rPr>
          <w:rFonts w:cs="宋体"/>
          <w:color w:val="000000"/>
          <w:szCs w:val="21"/>
        </w:rPr>
        <w:t>九级四序列宽带薪酬（</w:t>
      </w:r>
      <w:r>
        <w:rPr>
          <w:rFonts w:cs="宋体"/>
          <w:color w:val="000000"/>
          <w:szCs w:val="21"/>
        </w:rPr>
        <w:t>GSP</w:t>
      </w:r>
      <w:r>
        <w:rPr>
          <w:rFonts w:cs="宋体"/>
          <w:color w:val="000000"/>
          <w:szCs w:val="21"/>
        </w:rPr>
        <w:t>）</w:t>
      </w:r>
      <w:r>
        <w:rPr>
          <w:rFonts w:cs="宋体"/>
          <w:color w:val="000000"/>
          <w:szCs w:val="21"/>
        </w:rPr>
        <w:t>”</w:t>
      </w:r>
      <w:r>
        <w:rPr>
          <w:rFonts w:cs="宋体"/>
          <w:color w:val="000000"/>
          <w:szCs w:val="21"/>
        </w:rPr>
        <w:t>培训，其方法领先，科学实用，揭秘</w:t>
      </w:r>
      <w:r>
        <w:rPr>
          <w:rFonts w:cs="宋体"/>
          <w:color w:val="000000"/>
          <w:szCs w:val="21"/>
        </w:rPr>
        <w:t>BAT</w:t>
      </w:r>
      <w:r>
        <w:rPr>
          <w:rFonts w:cs="宋体"/>
          <w:color w:val="000000"/>
          <w:szCs w:val="21"/>
        </w:rPr>
        <w:t>公司与一线咨询公司的最新权威薪酬设计模式。</w:t>
      </w:r>
    </w:p>
    <w:p w:rsidR="00D80A36" w:rsidRPr="00963DA3" w:rsidRDefault="00D80A36">
      <w:pPr>
        <w:snapToGrid w:val="0"/>
        <w:spacing w:before="100" w:after="100" w:line="276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cs="宋体" w:hint="eastAsia"/>
          <w:color w:val="000000"/>
          <w:szCs w:val="21"/>
        </w:rPr>
        <w:t xml:space="preserve">    </w:t>
      </w:r>
      <w:r>
        <w:rPr>
          <w:rFonts w:cs="宋体"/>
          <w:color w:val="000000"/>
          <w:szCs w:val="21"/>
        </w:rPr>
        <w:t>本课程侧重薪酬设计的具体过程操作演练，教您掌握国际国内最规范的薪酬设计方法，成为相应的专业者。课程辅以大量案例，学员需要自带笔记本电脑，进行曲线设计等案例练习。</w:t>
      </w:r>
    </w:p>
    <w:p w:rsidR="00D80A36" w:rsidRDefault="00D80A36">
      <w:pPr>
        <w:snapToGrid w:val="0"/>
        <w:spacing w:before="100" w:after="100" w:line="276" w:lineRule="auto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课程大纲</w:t>
      </w:r>
    </w:p>
    <w:p w:rsidR="00D80A36" w:rsidRDefault="00D80A36">
      <w:pPr>
        <w:autoSpaceDN w:val="0"/>
        <w:rPr>
          <w:b/>
          <w:bCs/>
        </w:rPr>
      </w:pPr>
      <w:r>
        <w:rPr>
          <w:b/>
          <w:bCs/>
        </w:rPr>
        <w:t>一、薪酬体系框架</w:t>
      </w:r>
      <w:r>
        <w:rPr>
          <w:b/>
          <w:bCs/>
        </w:rPr>
        <w:t xml:space="preserve"> </w:t>
      </w:r>
    </w:p>
    <w:p w:rsidR="00D80A36" w:rsidRDefault="00D80A36">
      <w:pPr>
        <w:autoSpaceDN w:val="0"/>
      </w:pPr>
      <w:r>
        <w:t>1.</w:t>
      </w:r>
      <w:r>
        <w:t>薪酬的公平和激励要点</w:t>
      </w:r>
    </w:p>
    <w:p w:rsidR="00D80A36" w:rsidRDefault="00D80A36">
      <w:pPr>
        <w:autoSpaceDN w:val="0"/>
      </w:pPr>
      <w:r>
        <w:t>2.</w:t>
      </w:r>
      <w:r>
        <w:t>全面薪酬管理</w:t>
      </w:r>
    </w:p>
    <w:p w:rsidR="00D80A36" w:rsidRDefault="00D80A36">
      <w:pPr>
        <w:autoSpaceDN w:val="0"/>
      </w:pPr>
      <w:r>
        <w:t>3.</w:t>
      </w:r>
      <w:r>
        <w:t>薪酬体系的构成，固定收入、变动收入的设计方法</w:t>
      </w:r>
    </w:p>
    <w:p w:rsidR="00D80A36" w:rsidRDefault="00D80A36">
      <w:pPr>
        <w:autoSpaceDN w:val="0"/>
      </w:pPr>
      <w:r>
        <w:t>4.3P</w:t>
      </w:r>
      <w:r>
        <w:t>，即职位薪酬、个人（能力）薪酬、绩效薪酬，其设计思路讲解</w:t>
      </w:r>
    </w:p>
    <w:p w:rsidR="00D80A36" w:rsidRDefault="00D80A36">
      <w:pPr>
        <w:autoSpaceDN w:val="0"/>
      </w:pPr>
      <w:r>
        <w:t>5.3E</w:t>
      </w:r>
      <w:r>
        <w:t>薪资体系，即外部均衡、内部均衡、个体均衡的设计思路。</w:t>
      </w:r>
    </w:p>
    <w:p w:rsidR="00D80A36" w:rsidRDefault="00D80A36">
      <w:pPr>
        <w:autoSpaceDN w:val="0"/>
      </w:pPr>
      <w:r>
        <w:t>6.</w:t>
      </w:r>
      <w:r>
        <w:t>与</w:t>
      </w:r>
      <w:r>
        <w:t>“</w:t>
      </w:r>
      <w:r>
        <w:t>薪点制</w:t>
      </w:r>
      <w:r>
        <w:t>”</w:t>
      </w:r>
      <w:r>
        <w:t>比较的优势和共性</w:t>
      </w:r>
    </w:p>
    <w:p w:rsidR="00D80A36" w:rsidRDefault="00D80A36">
      <w:pPr>
        <w:autoSpaceDN w:val="0"/>
      </w:pPr>
    </w:p>
    <w:p w:rsidR="00D80A36" w:rsidRDefault="00D80A36">
      <w:pPr>
        <w:autoSpaceDN w:val="0"/>
        <w:rPr>
          <w:b/>
          <w:bCs/>
        </w:rPr>
      </w:pPr>
      <w:r>
        <w:rPr>
          <w:b/>
          <w:bCs/>
        </w:rPr>
        <w:t>二、岗位价值与岗位定级办法</w:t>
      </w:r>
    </w:p>
    <w:p w:rsidR="00D80A36" w:rsidRDefault="00D80A36">
      <w:pPr>
        <w:autoSpaceDN w:val="0"/>
      </w:pPr>
      <w:r>
        <w:t>1.</w:t>
      </w:r>
      <w:r>
        <w:t>第一个表，职级图的设计。如何根据岗位价值，对岗位设定其高低不同的工资级别。</w:t>
      </w:r>
    </w:p>
    <w:p w:rsidR="00D80A36" w:rsidRDefault="00D80A36">
      <w:pPr>
        <w:autoSpaceDN w:val="0"/>
      </w:pPr>
      <w:r>
        <w:t>2.</w:t>
      </w:r>
      <w:r>
        <w:t>设定不同序列与专业等级（实例，包括互联网公司职级图）</w:t>
      </w:r>
    </w:p>
    <w:p w:rsidR="00D80A36" w:rsidRDefault="00D80A36">
      <w:pPr>
        <w:autoSpaceDN w:val="0"/>
      </w:pPr>
      <w:r>
        <w:t>3.</w:t>
      </w:r>
      <w:r>
        <w:t>借助岗位测评实现岗位定级。点值法（</w:t>
      </w:r>
      <w:r>
        <w:t>point-factor</w:t>
      </w:r>
      <w:r>
        <w:t>）岗位测评要素举例（提供</w:t>
      </w:r>
      <w:r>
        <w:t>30</w:t>
      </w:r>
      <w:r>
        <w:t>个岗位测评要素）</w:t>
      </w:r>
    </w:p>
    <w:p w:rsidR="00D80A36" w:rsidRDefault="00D80A36">
      <w:pPr>
        <w:autoSpaceDN w:val="0"/>
      </w:pPr>
      <w:r>
        <w:t>4.</w:t>
      </w:r>
      <w:r>
        <w:t>选测评要素的三个原则</w:t>
      </w:r>
    </w:p>
    <w:p w:rsidR="00D80A36" w:rsidRDefault="00D80A36">
      <w:pPr>
        <w:autoSpaceDN w:val="0"/>
      </w:pPr>
      <w:r>
        <w:t>5.</w:t>
      </w:r>
      <w:r>
        <w:t>测评前，选择关键岗位的三个原则</w:t>
      </w:r>
    </w:p>
    <w:p w:rsidR="00D80A36" w:rsidRDefault="00D80A36">
      <w:pPr>
        <w:autoSpaceDN w:val="0"/>
      </w:pPr>
      <w:r>
        <w:t>6.</w:t>
      </w:r>
      <w:r>
        <w:t>岗位测评的六个步骤</w:t>
      </w:r>
    </w:p>
    <w:p w:rsidR="00D80A36" w:rsidRDefault="00D80A36">
      <w:pPr>
        <w:autoSpaceDN w:val="0"/>
      </w:pPr>
      <w:r>
        <w:t>7.</w:t>
      </w:r>
      <w:r>
        <w:t>岗位测评演练</w:t>
      </w:r>
      <w:r>
        <w:t xml:space="preserve"> </w:t>
      </w:r>
    </w:p>
    <w:p w:rsidR="00D80A36" w:rsidRDefault="00D80A36">
      <w:pPr>
        <w:autoSpaceDN w:val="0"/>
      </w:pPr>
      <w:r>
        <w:t>8.</w:t>
      </w:r>
      <w:r>
        <w:t>如何用回归拟合校验岗位测评的结果是否准确</w:t>
      </w:r>
    </w:p>
    <w:p w:rsidR="00D80A36" w:rsidRDefault="00D80A36">
      <w:pPr>
        <w:autoSpaceDN w:val="0"/>
      </w:pPr>
      <w:r>
        <w:t>9.</w:t>
      </w:r>
      <w:r>
        <w:t>根据测评结果，给岗位设定工资级别，做出职级图（</w:t>
      </w:r>
      <w:r>
        <w:t>Grading Matrix</w:t>
      </w:r>
      <w:r>
        <w:t>）</w:t>
      </w:r>
    </w:p>
    <w:p w:rsidR="00D80A36" w:rsidRDefault="00D80A36">
      <w:pPr>
        <w:autoSpaceDN w:val="0"/>
      </w:pPr>
      <w:r>
        <w:t>10.</w:t>
      </w:r>
      <w:r>
        <w:t>职级图在招聘、晋升核定工资中的用途</w:t>
      </w:r>
    </w:p>
    <w:p w:rsidR="00D80A36" w:rsidRDefault="00D80A36">
      <w:pPr>
        <w:autoSpaceDN w:val="0"/>
      </w:pPr>
      <w:r>
        <w:t>11.</w:t>
      </w:r>
      <w:r>
        <w:t>岗位测评的小组该如何构成，包括什么成员</w:t>
      </w:r>
    </w:p>
    <w:p w:rsidR="00D80A36" w:rsidRDefault="00D80A36">
      <w:pPr>
        <w:autoSpaceDN w:val="0"/>
      </w:pPr>
      <w:r>
        <w:t>12.</w:t>
      </w:r>
      <w:r>
        <w:t>四种衡量岗位价值的方法</w:t>
      </w:r>
    </w:p>
    <w:p w:rsidR="00D80A36" w:rsidRDefault="00D80A36">
      <w:pPr>
        <w:autoSpaceDN w:val="0"/>
      </w:pPr>
      <w:r>
        <w:t>13.</w:t>
      </w:r>
      <w:r>
        <w:t>企业内部薪酬均衡的世界知名的公式</w:t>
      </w:r>
    </w:p>
    <w:p w:rsidR="00D80A36" w:rsidRDefault="00D80A36">
      <w:pPr>
        <w:autoSpaceDN w:val="0"/>
      </w:pPr>
    </w:p>
    <w:p w:rsidR="00D80A36" w:rsidRDefault="00D80A36">
      <w:pPr>
        <w:autoSpaceDN w:val="0"/>
        <w:rPr>
          <w:b/>
          <w:bCs/>
        </w:rPr>
      </w:pPr>
      <w:r>
        <w:rPr>
          <w:b/>
          <w:bCs/>
        </w:rPr>
        <w:t>三、九级四序列宽带薪酬设计办法</w:t>
      </w:r>
      <w:r>
        <w:rPr>
          <w:b/>
          <w:bCs/>
        </w:rPr>
        <w:t xml:space="preserve"> </w:t>
      </w:r>
    </w:p>
    <w:p w:rsidR="00D80A36" w:rsidRDefault="00D80A36">
      <w:pPr>
        <w:autoSpaceDN w:val="0"/>
      </w:pPr>
      <w:r>
        <w:t>(</w:t>
      </w:r>
      <w:r>
        <w:t>一）宽带各级工资额度标准的设计</w:t>
      </w:r>
    </w:p>
    <w:p w:rsidR="00D80A36" w:rsidRDefault="00D80A36">
      <w:pPr>
        <w:autoSpaceDN w:val="0"/>
      </w:pPr>
      <w:r>
        <w:t>1.</w:t>
      </w:r>
      <w:r>
        <w:t>设定宽带薪酬等级体系的八个实用的步骤</w:t>
      </w:r>
    </w:p>
    <w:p w:rsidR="00D80A36" w:rsidRDefault="00D80A36">
      <w:pPr>
        <w:autoSpaceDN w:val="0"/>
      </w:pPr>
      <w:r>
        <w:t>2.</w:t>
      </w:r>
      <w:r>
        <w:t>一个企业搞多少级工资好</w:t>
      </w:r>
    </w:p>
    <w:p w:rsidR="00D80A36" w:rsidRDefault="00D80A36">
      <w:pPr>
        <w:autoSpaceDN w:val="0"/>
      </w:pPr>
      <w:r>
        <w:t>3.</w:t>
      </w:r>
      <w:r>
        <w:t>级差的计算公式及什么</w:t>
      </w:r>
    </w:p>
    <w:p w:rsidR="00D80A36" w:rsidRDefault="00D80A36">
      <w:pPr>
        <w:autoSpaceDN w:val="0"/>
      </w:pPr>
      <w:r>
        <w:t>4.</w:t>
      </w:r>
      <w:r>
        <w:t>级别最小值、中点值、最大值的设计办法。分档的办法。</w:t>
      </w:r>
    </w:p>
    <w:p w:rsidR="00D80A36" w:rsidRDefault="00D80A36">
      <w:pPr>
        <w:autoSpaceDN w:val="0"/>
      </w:pPr>
      <w:r>
        <w:lastRenderedPageBreak/>
        <w:t>5.</w:t>
      </w:r>
      <w:r>
        <w:t>级幅度的公式和规律，根据个体业绩差异来设计</w:t>
      </w:r>
    </w:p>
    <w:p w:rsidR="00D80A36" w:rsidRDefault="00D80A36">
      <w:pPr>
        <w:autoSpaceDN w:val="0"/>
      </w:pPr>
      <w:r>
        <w:t>6.</w:t>
      </w:r>
      <w:r>
        <w:t>两级工资的重叠度的公式，如何设定，及其影响</w:t>
      </w:r>
    </w:p>
    <w:p w:rsidR="00D80A36" w:rsidRDefault="00D80A36">
      <w:pPr>
        <w:autoSpaceDN w:val="0"/>
      </w:pPr>
      <w:r>
        <w:t>7.</w:t>
      </w:r>
      <w:r>
        <w:t>借住市场工资数据来设计或比较（校验、调整）现有工资曲线（各级中点连线）的方法。画出企业薪资曲线与市场各分位曲线</w:t>
      </w:r>
    </w:p>
    <w:p w:rsidR="00D80A36" w:rsidRDefault="00D80A36">
      <w:pPr>
        <w:autoSpaceDN w:val="0"/>
      </w:pPr>
      <w:r>
        <w:t>8.</w:t>
      </w:r>
      <w:r>
        <w:t>领先、滞后政策的设定和运用</w:t>
      </w:r>
    </w:p>
    <w:p w:rsidR="00D80A36" w:rsidRDefault="00D80A36">
      <w:pPr>
        <w:autoSpaceDN w:val="0"/>
      </w:pPr>
      <w:r>
        <w:t>9.</w:t>
      </w:r>
      <w:r>
        <w:t>不同序列（管理和职能序列、技术序列、生出序列等）的薪资等级标准的设计的方法</w:t>
      </w:r>
    </w:p>
    <w:p w:rsidR="00D80A36" w:rsidRDefault="00D80A36">
      <w:pPr>
        <w:autoSpaceDN w:val="0"/>
      </w:pPr>
      <w:r>
        <w:t>10.</w:t>
      </w:r>
      <w:r>
        <w:t>实例（知名企业）</w:t>
      </w:r>
    </w:p>
    <w:p w:rsidR="00D80A36" w:rsidRDefault="00D80A36">
      <w:pPr>
        <w:autoSpaceDN w:val="0"/>
      </w:pPr>
      <w:r>
        <w:t>(</w:t>
      </w:r>
      <w:r>
        <w:t>二）市场薪资调查</w:t>
      </w:r>
    </w:p>
    <w:p w:rsidR="00D80A36" w:rsidRDefault="00D80A36">
      <w:pPr>
        <w:autoSpaceDN w:val="0"/>
      </w:pPr>
      <w:r>
        <w:t>1.</w:t>
      </w:r>
      <w:r>
        <w:t>如何做市场薪资调查，怎么读市场报告</w:t>
      </w:r>
    </w:p>
    <w:p w:rsidR="00D80A36" w:rsidRDefault="00D80A36">
      <w:pPr>
        <w:autoSpaceDN w:val="0"/>
      </w:pPr>
      <w:r>
        <w:t>2.</w:t>
      </w:r>
      <w:r>
        <w:t>影响和决定一个岗位市场薪资价格高低的四个因素</w:t>
      </w:r>
    </w:p>
    <w:p w:rsidR="00D80A36" w:rsidRDefault="00D80A36">
      <w:pPr>
        <w:autoSpaceDN w:val="0"/>
      </w:pPr>
      <w:r>
        <w:t>3.</w:t>
      </w:r>
      <w:r>
        <w:t>市场分位值是什么概念，如何使用到自己的体系中</w:t>
      </w:r>
    </w:p>
    <w:p w:rsidR="00D80A36" w:rsidRDefault="00D80A36">
      <w:pPr>
        <w:autoSpaceDN w:val="0"/>
      </w:pPr>
      <w:r>
        <w:t>4.</w:t>
      </w:r>
      <w:r>
        <w:t>如何把企业岗位与市场报告中的进行匹配，如何对比分析</w:t>
      </w:r>
    </w:p>
    <w:p w:rsidR="00D80A36" w:rsidRDefault="00D80A36">
      <w:pPr>
        <w:autoSpaceDN w:val="0"/>
      </w:pPr>
      <w:r>
        <w:t>(</w:t>
      </w:r>
      <w:r>
        <w:t>三）如何撰写企业薪酬制度（包括八个部分），实例</w:t>
      </w:r>
    </w:p>
    <w:p w:rsidR="00D80A36" w:rsidRDefault="00D80A36">
      <w:pPr>
        <w:autoSpaceDN w:val="0"/>
      </w:pPr>
    </w:p>
    <w:p w:rsidR="00D80A36" w:rsidRDefault="00D80A36">
      <w:pPr>
        <w:autoSpaceDN w:val="0"/>
        <w:rPr>
          <w:b/>
          <w:bCs/>
        </w:rPr>
      </w:pPr>
      <w:r>
        <w:rPr>
          <w:b/>
          <w:bCs/>
        </w:rPr>
        <w:t>四、专业等级通道的设计，以及胜任力模型（任职资格）的设计和在定级定薪中的应用</w:t>
      </w:r>
      <w:r>
        <w:rPr>
          <w:b/>
          <w:bCs/>
        </w:rPr>
        <w:t xml:space="preserve"> </w:t>
      </w:r>
    </w:p>
    <w:p w:rsidR="00D80A36" w:rsidRDefault="00D80A36">
      <w:pPr>
        <w:autoSpaceDN w:val="0"/>
      </w:pPr>
      <w:r>
        <w:t>1.</w:t>
      </w:r>
      <w:r>
        <w:t>分职种进行任职资格（胜任力模型）设计的方法与举例。</w:t>
      </w:r>
    </w:p>
    <w:p w:rsidR="00D80A36" w:rsidRDefault="00D80A36">
      <w:pPr>
        <w:autoSpaceDN w:val="0"/>
      </w:pPr>
      <w:r>
        <w:t>2.</w:t>
      </w:r>
      <w:r>
        <w:t>对于专业管理序列或技术序列人员，借助</w:t>
      </w:r>
      <w:r>
        <w:t>“</w:t>
      </w:r>
      <w:r>
        <w:t>胜任力模型</w:t>
      </w:r>
      <w:r>
        <w:t>”</w:t>
      </w:r>
      <w:r>
        <w:t>来设定人员的工资级别和档位，以及专业等级的晋升。</w:t>
      </w:r>
    </w:p>
    <w:p w:rsidR="00D80A36" w:rsidRDefault="00D80A36">
      <w:pPr>
        <w:autoSpaceDN w:val="0"/>
      </w:pPr>
      <w:r>
        <w:t>3.</w:t>
      </w:r>
      <w:r>
        <w:t>根据岗位胜任度（适配度），量化地为不同人员设定其薪资档位。</w:t>
      </w:r>
    </w:p>
    <w:p w:rsidR="00D80A36" w:rsidRDefault="00D80A36">
      <w:pPr>
        <w:autoSpaceDN w:val="0"/>
      </w:pPr>
      <w:r>
        <w:t>4.</w:t>
      </w:r>
      <w:r>
        <w:t>如何做岗位的胜任力模型（直观、实用），提供研发类人员分职种的胜任力（任职资格）设计的实例。</w:t>
      </w:r>
    </w:p>
    <w:p w:rsidR="00D80A36" w:rsidRDefault="00D80A36">
      <w:pPr>
        <w:autoSpaceDN w:val="0"/>
      </w:pPr>
    </w:p>
    <w:p w:rsidR="00D80A36" w:rsidRDefault="00D80A36">
      <w:pPr>
        <w:autoSpaceDN w:val="0"/>
        <w:rPr>
          <w:b/>
          <w:bCs/>
        </w:rPr>
      </w:pPr>
      <w:r>
        <w:rPr>
          <w:b/>
          <w:bCs/>
        </w:rPr>
        <w:t>五、绩效工资、奖金</w:t>
      </w:r>
    </w:p>
    <w:p w:rsidR="00D80A36" w:rsidRDefault="00D80A36">
      <w:pPr>
        <w:autoSpaceDN w:val="0"/>
      </w:pPr>
      <w:r>
        <w:t>1.</w:t>
      </w:r>
      <w:r>
        <w:t>绩效考核的五种办法</w:t>
      </w:r>
      <w:r>
        <w:t xml:space="preserve">  </w:t>
      </w:r>
      <w:r>
        <w:t>举例</w:t>
      </w:r>
    </w:p>
    <w:p w:rsidR="00D80A36" w:rsidRDefault="00D80A36">
      <w:pPr>
        <w:autoSpaceDN w:val="0"/>
      </w:pPr>
      <w:r>
        <w:t>2.</w:t>
      </w:r>
      <w:r>
        <w:t>绩效工资比例的设定</w:t>
      </w:r>
    </w:p>
    <w:p w:rsidR="00D80A36" w:rsidRDefault="00D80A36">
      <w:pPr>
        <w:autoSpaceDN w:val="0"/>
      </w:pPr>
      <w:r>
        <w:t>3.</w:t>
      </w:r>
      <w:r>
        <w:t>基于考核结果，计算绩效工资的办法</w:t>
      </w:r>
    </w:p>
    <w:p w:rsidR="00D80A36" w:rsidRDefault="00D80A36">
      <w:pPr>
        <w:autoSpaceDN w:val="0"/>
      </w:pPr>
      <w:r>
        <w:t>4.</w:t>
      </w:r>
      <w:r>
        <w:t>从薪酬体系上避免部门经理为了争取绩效工资而拼命给下属打高分</w:t>
      </w:r>
    </w:p>
    <w:p w:rsidR="00D80A36" w:rsidRDefault="00D80A36">
      <w:pPr>
        <w:autoSpaceDN w:val="0"/>
      </w:pPr>
      <w:r>
        <w:t>5.</w:t>
      </w:r>
      <w:r>
        <w:t>年终奖如何既与企业业绩挂钩，又与个人表现挂钩，实例讲解</w:t>
      </w:r>
    </w:p>
    <w:p w:rsidR="00D80A36" w:rsidRDefault="00D80A36">
      <w:pPr>
        <w:autoSpaceDN w:val="0"/>
      </w:pPr>
      <w:r>
        <w:t>6.</w:t>
      </w:r>
      <w:r>
        <w:t>年终奖设定的几种有效的公式（从总体分给个人）</w:t>
      </w:r>
    </w:p>
    <w:p w:rsidR="00D80A36" w:rsidRDefault="00D80A36">
      <w:pPr>
        <w:autoSpaceDN w:val="0"/>
      </w:pPr>
    </w:p>
    <w:p w:rsidR="00D80A36" w:rsidRDefault="00D80A36">
      <w:pPr>
        <w:autoSpaceDN w:val="0"/>
        <w:rPr>
          <w:b/>
          <w:bCs/>
        </w:rPr>
      </w:pPr>
      <w:r>
        <w:rPr>
          <w:b/>
          <w:bCs/>
        </w:rPr>
        <w:t>六、业务人员、业务高管人员激励</w:t>
      </w:r>
    </w:p>
    <w:p w:rsidR="00D80A36" w:rsidRDefault="00D80A36">
      <w:pPr>
        <w:autoSpaceDN w:val="0"/>
      </w:pPr>
      <w:r>
        <w:t>1.</w:t>
      </w:r>
      <w:r>
        <w:t>金融、房地产、建筑建设、</w:t>
      </w:r>
      <w:r>
        <w:t>IT</w:t>
      </w:r>
      <w:r>
        <w:t>类业务高管激励实例</w:t>
      </w:r>
    </w:p>
    <w:p w:rsidR="00D80A36" w:rsidRDefault="00D80A36">
      <w:pPr>
        <w:autoSpaceDN w:val="0"/>
      </w:pPr>
      <w:r>
        <w:t>2.</w:t>
      </w:r>
      <w:r>
        <w:t>销售人员底薪分级、提出制定技巧与实例</w:t>
      </w:r>
    </w:p>
    <w:p w:rsidR="00D80A36" w:rsidRDefault="00D80A36">
      <w:pPr>
        <w:autoSpaceDN w:val="0"/>
      </w:pPr>
      <w:r>
        <w:t>3.</w:t>
      </w:r>
      <w:r>
        <w:t>高管人员的年薪制结构</w:t>
      </w:r>
    </w:p>
    <w:p w:rsidR="00D80A36" w:rsidRDefault="00D80A36">
      <w:pPr>
        <w:autoSpaceDN w:val="0"/>
      </w:pPr>
      <w:r>
        <w:t>4.</w:t>
      </w:r>
      <w:r>
        <w:t>高管人员的年终大额奖金的设计与考核办法（实例）</w:t>
      </w:r>
    </w:p>
    <w:p w:rsidR="00D80A36" w:rsidRDefault="00D80A36">
      <w:pPr>
        <w:autoSpaceDN w:val="0"/>
      </w:pPr>
      <w:r>
        <w:t>5.</w:t>
      </w:r>
      <w:r>
        <w:t>高管人员的激励与福利模式。</w:t>
      </w:r>
    </w:p>
    <w:p w:rsidR="00D80A36" w:rsidRDefault="00D80A36">
      <w:pPr>
        <w:autoSpaceDN w:val="0"/>
      </w:pPr>
      <w:r>
        <w:t>6.</w:t>
      </w:r>
      <w:r>
        <w:t>业务类高管人员奖金与提成的实例</w:t>
      </w:r>
    </w:p>
    <w:p w:rsidR="00D80A36" w:rsidRDefault="00D80A36">
      <w:pPr>
        <w:autoSpaceDN w:val="0"/>
      </w:pPr>
      <w:r>
        <w:t>7.</w:t>
      </w:r>
      <w:r>
        <w:t>股权激励的主要模式</w:t>
      </w:r>
    </w:p>
    <w:p w:rsidR="00D80A36" w:rsidRDefault="00D80A36">
      <w:pPr>
        <w:autoSpaceDN w:val="0"/>
      </w:pPr>
      <w:r>
        <w:t>8.</w:t>
      </w:r>
      <w:r>
        <w:t>高管人员长期激励的原则</w:t>
      </w:r>
    </w:p>
    <w:p w:rsidR="00D80A36" w:rsidRDefault="00D80A36">
      <w:pPr>
        <w:autoSpaceDN w:val="0"/>
      </w:pPr>
    </w:p>
    <w:p w:rsidR="00D80A36" w:rsidRDefault="00D80A36">
      <w:pPr>
        <w:autoSpaceDN w:val="0"/>
        <w:rPr>
          <w:b/>
          <w:bCs/>
        </w:rPr>
      </w:pPr>
      <w:r>
        <w:rPr>
          <w:b/>
          <w:bCs/>
        </w:rPr>
        <w:t>七、调薪</w:t>
      </w:r>
    </w:p>
    <w:p w:rsidR="00D80A36" w:rsidRDefault="00D80A36">
      <w:pPr>
        <w:autoSpaceDN w:val="0"/>
      </w:pPr>
      <w:r>
        <w:t>1.</w:t>
      </w:r>
      <w:r>
        <w:t>晋升调薪、业绩调薪、结构化调薪</w:t>
      </w:r>
    </w:p>
    <w:p w:rsidR="00D80A36" w:rsidRDefault="00D80A36">
      <w:pPr>
        <w:autoSpaceDN w:val="0"/>
      </w:pPr>
      <w:r>
        <w:t>2.</w:t>
      </w:r>
      <w:r>
        <w:t>年度调薪兼顾业绩和现有个人收入水平的办法，以</w:t>
      </w:r>
      <w:r>
        <w:t>CR</w:t>
      </w:r>
      <w:r>
        <w:t>体现现有薪资水平</w:t>
      </w:r>
    </w:p>
    <w:p w:rsidR="00D80A36" w:rsidRDefault="00D80A36">
      <w:pPr>
        <w:autoSpaceDN w:val="0"/>
      </w:pPr>
      <w:r>
        <w:t>3.</w:t>
      </w:r>
      <w:r>
        <w:t>借住</w:t>
      </w:r>
      <w:r>
        <w:t>CR</w:t>
      </w:r>
      <w:r>
        <w:t>，设定有效、实用的年度调薪矩阵</w:t>
      </w:r>
    </w:p>
    <w:p w:rsidR="00D80A36" w:rsidRDefault="00D80A36">
      <w:pPr>
        <w:autoSpaceDN w:val="0"/>
      </w:pPr>
      <w:r>
        <w:t>4.</w:t>
      </w:r>
      <w:r>
        <w:t>用调薪矩阵给全员设定调薪（按预算），实例演练</w:t>
      </w:r>
    </w:p>
    <w:p w:rsidR="00D80A36" w:rsidRDefault="00D80A36">
      <w:pPr>
        <w:autoSpaceDN w:val="0"/>
      </w:pPr>
      <w:r>
        <w:t>5.</w:t>
      </w:r>
      <w:r>
        <w:t>调薪如何控制成本和预算</w:t>
      </w:r>
    </w:p>
    <w:p w:rsidR="00D80A36" w:rsidRDefault="00D80A36">
      <w:pPr>
        <w:autoSpaceDN w:val="0"/>
      </w:pPr>
      <w:r>
        <w:t>6.</w:t>
      </w:r>
      <w:r>
        <w:t>如何用所设计的薪资曲线结构为新来的人定薪，招聘时</w:t>
      </w:r>
      <w:r>
        <w:t>“</w:t>
      </w:r>
      <w:r>
        <w:t>薪资谈判</w:t>
      </w:r>
      <w:r>
        <w:t>”</w:t>
      </w:r>
      <w:r>
        <w:t>（侃价）的三招</w:t>
      </w:r>
    </w:p>
    <w:p w:rsidR="00D80A36" w:rsidRDefault="00D80A36">
      <w:pPr>
        <w:autoSpaceDN w:val="0"/>
      </w:pPr>
      <w:r>
        <w:t>7.</w:t>
      </w:r>
      <w:r>
        <w:t>调岗、晋升人员调薪政策与审批流程</w:t>
      </w:r>
    </w:p>
    <w:p w:rsidR="00D80A36" w:rsidRDefault="00D80A36">
      <w:pPr>
        <w:autoSpaceDN w:val="0"/>
      </w:pPr>
      <w:r>
        <w:t>8.</w:t>
      </w:r>
      <w:r>
        <w:t>解决薪酬水平低于标准的人员（绿圈）的科学合理方法，解决薪酬水平超标的人员（红圈）的十种方法</w:t>
      </w:r>
    </w:p>
    <w:p w:rsidR="00D80A36" w:rsidRDefault="00D80A36">
      <w:pPr>
        <w:autoSpaceDN w:val="0"/>
      </w:pPr>
    </w:p>
    <w:p w:rsidR="00D80A36" w:rsidRDefault="00D80A36">
      <w:pPr>
        <w:autoSpaceDN w:val="0"/>
        <w:rPr>
          <w:b/>
          <w:bCs/>
        </w:rPr>
      </w:pPr>
      <w:r>
        <w:rPr>
          <w:b/>
          <w:bCs/>
        </w:rPr>
        <w:t>八、定岗、定编、定权责书、定级、定任职资格、定预算的全套体系</w:t>
      </w:r>
    </w:p>
    <w:p w:rsidR="00D80A36" w:rsidRDefault="00D80A36" w:rsidP="00963DA3">
      <w:pPr>
        <w:autoSpaceDN w:val="0"/>
        <w:rPr>
          <w:rFonts w:hint="eastAsia"/>
          <w:sz w:val="20"/>
        </w:rPr>
      </w:pPr>
      <w:r>
        <w:lastRenderedPageBreak/>
        <w:t>如何进行定岗、定编制、定级、任职资格，做薪酬预算（实例演示和资料提供）</w:t>
      </w:r>
    </w:p>
    <w:p w:rsidR="00963DA3" w:rsidRPr="00963DA3" w:rsidRDefault="00963DA3" w:rsidP="00963DA3">
      <w:pPr>
        <w:autoSpaceDN w:val="0"/>
        <w:rPr>
          <w:sz w:val="20"/>
        </w:rPr>
      </w:pPr>
    </w:p>
    <w:p w:rsidR="00D80A36" w:rsidRDefault="00D80A36">
      <w:pPr>
        <w:snapToGrid w:val="0"/>
        <w:spacing w:before="100" w:after="100" w:line="276" w:lineRule="auto"/>
        <w:jc w:val="left"/>
        <w:rPr>
          <w:b/>
          <w:bCs/>
          <w:sz w:val="20"/>
        </w:rPr>
      </w:pPr>
      <w:r>
        <w:rPr>
          <w:rFonts w:hint="eastAsia"/>
          <w:b/>
          <w:sz w:val="22"/>
          <w:szCs w:val="22"/>
        </w:rPr>
        <w:t>【专家介绍】</w:t>
      </w:r>
      <w:r>
        <w:rPr>
          <w:rFonts w:hint="eastAsia"/>
          <w:b/>
          <w:sz w:val="22"/>
          <w:szCs w:val="22"/>
        </w:rPr>
        <w:t xml:space="preserve"> </w:t>
      </w:r>
      <w:r>
        <w:rPr>
          <w:b/>
          <w:bCs/>
        </w:rPr>
        <w:t>张守春</w:t>
      </w:r>
    </w:p>
    <w:p w:rsidR="00D80A36" w:rsidRDefault="00D80A36">
      <w:pPr>
        <w:autoSpaceDN w:val="0"/>
      </w:pPr>
      <w:r>
        <w:t>背景：清华大学客座教授。先后担任新浪网、新华人寿、五矿集团等大型企业的</w:t>
      </w:r>
      <w:r>
        <w:t>HR</w:t>
      </w:r>
      <w:r>
        <w:t>顾问。</w:t>
      </w:r>
    </w:p>
    <w:p w:rsidR="00D80A36" w:rsidRDefault="00D80A36">
      <w:pPr>
        <w:autoSpaceDN w:val="0"/>
      </w:pPr>
      <w:r>
        <w:t>1</w:t>
      </w:r>
      <w:r>
        <w:t>、</w:t>
      </w:r>
      <w:r>
        <w:t>1994</w:t>
      </w:r>
      <w:r>
        <w:t>年，毕业于清华大学电机系，随后进入联合利华（中国）从事人力资源工作；</w:t>
      </w:r>
    </w:p>
    <w:p w:rsidR="00D80A36" w:rsidRDefault="00D80A36">
      <w:pPr>
        <w:autoSpaceDN w:val="0"/>
      </w:pPr>
      <w:r>
        <w:t>2</w:t>
      </w:r>
      <w:r>
        <w:t>、</w:t>
      </w:r>
      <w:r>
        <w:t>1997</w:t>
      </w:r>
      <w:r>
        <w:t>年，赴美国新泽西州立大学学习，人力资源管理硕士；</w:t>
      </w:r>
    </w:p>
    <w:p w:rsidR="00D80A36" w:rsidRDefault="00D80A36">
      <w:pPr>
        <w:autoSpaceDN w:val="0"/>
      </w:pPr>
      <w:r>
        <w:t>3</w:t>
      </w:r>
      <w:r>
        <w:t>、在美国期间，担任朗讯集团人力资源总部（位于美国新泽西州）薪资管理经理；</w:t>
      </w:r>
    </w:p>
    <w:p w:rsidR="00D80A36" w:rsidRDefault="00D80A36">
      <w:pPr>
        <w:autoSpaceDN w:val="0"/>
      </w:pPr>
      <w:r>
        <w:t>4</w:t>
      </w:r>
      <w:r>
        <w:t>、回国后，历任通用国际、搜狐、</w:t>
      </w:r>
      <w:r>
        <w:t>ChinaRen</w:t>
      </w:r>
      <w:r>
        <w:t>等知名企业</w:t>
      </w:r>
      <w:r>
        <w:t>HR</w:t>
      </w:r>
      <w:r>
        <w:t>高阶，华泰保险人力资源总监；</w:t>
      </w:r>
    </w:p>
    <w:p w:rsidR="00D80A36" w:rsidRDefault="00D80A36">
      <w:pPr>
        <w:autoSpaceDN w:val="0"/>
      </w:pPr>
      <w:r>
        <w:t>5</w:t>
      </w:r>
      <w:r>
        <w:t>、十年知名外企人力资源管理经验，十年国内各类企业的薪酬咨询设计经验。有丰富的外企、国企、民企的实战和咨询经验，多次被国内权威机构评为中国最具实战性培训师。</w:t>
      </w:r>
    </w:p>
    <w:p w:rsidR="00D80A36" w:rsidRDefault="00D80A36">
      <w:pPr>
        <w:autoSpaceDN w:val="0"/>
      </w:pPr>
      <w:r>
        <w:t>6</w:t>
      </w:r>
      <w:r>
        <w:t>、首创</w:t>
      </w:r>
      <w:r>
        <w:t>“3E</w:t>
      </w:r>
      <w:r>
        <w:t>薪资体系</w:t>
      </w:r>
      <w:r>
        <w:t>”</w:t>
      </w:r>
      <w:r>
        <w:t>，让复杂的薪酬管理变得简单、实用、科学、直观。开发</w:t>
      </w:r>
      <w:r>
        <w:t>“3E</w:t>
      </w:r>
      <w:r>
        <w:t>薪资软件</w:t>
      </w:r>
      <w:r>
        <w:t>”</w:t>
      </w:r>
      <w:r>
        <w:t>，让薪酬设计分十步完成。</w:t>
      </w:r>
    </w:p>
    <w:p w:rsidR="00D80A36" w:rsidRDefault="00D80A36">
      <w:pPr>
        <w:autoSpaceDN w:val="0"/>
      </w:pPr>
      <w:r>
        <w:t>7</w:t>
      </w:r>
      <w:r>
        <w:t>、为数十家企业进行薪酬绩效设计咨询：中国电网、爱屋吉屋、中国银行中国医药集团，宽连十方科技公司（网站）、新浪网、惠点科技（网站）；中外运（空运）集团、民生人寿、信诺公关公司、</w:t>
      </w:r>
      <w:r>
        <w:t xml:space="preserve"> </w:t>
      </w:r>
      <w:r>
        <w:t>英索电气、欧时力服装、中国航空总院</w:t>
      </w:r>
      <w:r>
        <w:t>310</w:t>
      </w:r>
      <w:r>
        <w:t>所、达利集团、青岛城发集团、北京天润金百商贸公司、国丹医药销售公司等，所涉及的项目模块主要为薪酬、绩效，部分包含高管人员激励设计。</w:t>
      </w:r>
    </w:p>
    <w:p w:rsidR="00D80A36" w:rsidRPr="00963DA3" w:rsidRDefault="00D80A36" w:rsidP="00963DA3">
      <w:pPr>
        <w:snapToGrid w:val="0"/>
        <w:spacing w:before="100" w:after="100" w:line="276" w:lineRule="auto"/>
        <w:jc w:val="left"/>
        <w:rPr>
          <w:rFonts w:cs="宋体" w:hint="eastAsia"/>
          <w:color w:val="000000"/>
          <w:szCs w:val="21"/>
        </w:rPr>
      </w:pPr>
      <w:r>
        <w:rPr>
          <w:rFonts w:cs="宋体"/>
          <w:color w:val="000000"/>
          <w:szCs w:val="21"/>
        </w:rPr>
        <w:tab/>
      </w:r>
      <w:r>
        <w:rPr>
          <w:rFonts w:cs="宋体"/>
          <w:color w:val="000000"/>
          <w:szCs w:val="21"/>
        </w:rPr>
        <w:t>张守春老师是国内人力资源专家，</w:t>
      </w:r>
      <w:r>
        <w:rPr>
          <w:rFonts w:cs="宋体"/>
          <w:color w:val="000000"/>
          <w:szCs w:val="21"/>
        </w:rPr>
        <w:t>3E</w:t>
      </w:r>
      <w:r>
        <w:rPr>
          <w:rFonts w:cs="宋体"/>
          <w:color w:val="000000"/>
          <w:szCs w:val="21"/>
        </w:rPr>
        <w:t>薪资设计创始人，清华大学教育培训机构客座教授，清华毕业，美国新泽西州立大学人力资源管理硕士，美国薪资协会会员，二十年的人力资源管理和咨询经验，先后担任联合利华、朗讯公司人力资源（美国总部），通用电器、</w:t>
      </w:r>
      <w:r>
        <w:rPr>
          <w:rFonts w:cs="宋体"/>
          <w:color w:val="000000"/>
          <w:szCs w:val="21"/>
        </w:rPr>
        <w:t>ChinaRen</w:t>
      </w:r>
      <w:r>
        <w:rPr>
          <w:rFonts w:cs="宋体"/>
          <w:color w:val="000000"/>
          <w:szCs w:val="21"/>
        </w:rPr>
        <w:t>网站、华泰保险公司的人力资源总监和经理，曾担任新浪网、新华人寿、五矿集团有色金属公司的人事顾问。被多家媒体评为全国十佳培训师。曾为中国银行、中海油、国家电网、天津（蓝巢）电力建设集团公司等四十余家大小企业进行薪酬绩效咨询设计。</w:t>
      </w:r>
    </w:p>
    <w:p w:rsidR="00D80A36" w:rsidRDefault="00D80A36">
      <w:pPr>
        <w:jc w:val="center"/>
        <w:rPr>
          <w:rFonts w:ascii="方正粗宋简体" w:eastAsia="方正粗宋简体" w:hAnsi="Batang" w:cs="宋体" w:hint="eastAsia"/>
          <w:b/>
          <w:color w:val="000000"/>
          <w:kern w:val="0"/>
          <w:sz w:val="32"/>
          <w:szCs w:val="32"/>
        </w:rPr>
      </w:pPr>
      <w:r>
        <w:rPr>
          <w:rFonts w:ascii="方正粗宋简体" w:eastAsia="方正粗宋简体" w:hAnsi="Batang" w:cs="宋体" w:hint="eastAsia"/>
          <w:b/>
          <w:color w:val="000000"/>
          <w:kern w:val="0"/>
          <w:sz w:val="32"/>
          <w:szCs w:val="32"/>
        </w:rPr>
        <w:t>报 名 回 执</w:t>
      </w:r>
    </w:p>
    <w:p w:rsidR="00963DA3" w:rsidRPr="00963DA3" w:rsidRDefault="00963DA3">
      <w:pPr>
        <w:jc w:val="center"/>
        <w:rPr>
          <w:rFonts w:ascii="方正粗宋简体" w:eastAsia="方正粗宋简体" w:hAnsi="Batang" w:cs="宋体"/>
          <w:b/>
          <w:color w:val="FF0000"/>
          <w:kern w:val="0"/>
          <w:szCs w:val="21"/>
        </w:rPr>
      </w:pPr>
      <w:r w:rsidRPr="00963DA3">
        <w:rPr>
          <w:rFonts w:ascii="方正粗宋简体" w:eastAsia="方正粗宋简体" w:hAnsi="Batang" w:cs="宋体" w:hint="eastAsia"/>
          <w:b/>
          <w:color w:val="FF0000"/>
          <w:kern w:val="0"/>
          <w:szCs w:val="21"/>
        </w:rPr>
        <w:t>(在线报名请下载附件报名回执表填写后发送 至信箱 6983436@qq.com)</w:t>
      </w:r>
    </w:p>
    <w:p w:rsidR="00D80A36" w:rsidRDefault="00D80A36">
      <w:pPr>
        <w:pStyle w:val="HTMLTopofForm"/>
      </w:pPr>
      <w:r>
        <w:rPr>
          <w:rFonts w:hint="eastAsia"/>
        </w:rPr>
        <w:t>窗体顶端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4"/>
        <w:gridCol w:w="889"/>
        <w:gridCol w:w="1092"/>
        <w:gridCol w:w="895"/>
        <w:gridCol w:w="1441"/>
        <w:gridCol w:w="800"/>
        <w:gridCol w:w="3885"/>
      </w:tblGrid>
      <w:tr w:rsidR="00D80A36">
        <w:trPr>
          <w:trHeight w:val="446"/>
        </w:trPr>
        <w:tc>
          <w:tcPr>
            <w:tcW w:w="1544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课程名称</w:t>
            </w:r>
          </w:p>
        </w:tc>
        <w:tc>
          <w:tcPr>
            <w:tcW w:w="9002" w:type="dxa"/>
            <w:gridSpan w:val="6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D80A36">
        <w:trPr>
          <w:trHeight w:val="466"/>
        </w:trPr>
        <w:tc>
          <w:tcPr>
            <w:tcW w:w="1544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上课时间</w:t>
            </w:r>
          </w:p>
        </w:tc>
        <w:tc>
          <w:tcPr>
            <w:tcW w:w="2876" w:type="dxa"/>
            <w:gridSpan w:val="3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441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上课地区</w:t>
            </w:r>
          </w:p>
        </w:tc>
        <w:tc>
          <w:tcPr>
            <w:tcW w:w="4685" w:type="dxa"/>
            <w:gridSpan w:val="2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D80A36">
        <w:trPr>
          <w:trHeight w:val="403"/>
        </w:trPr>
        <w:tc>
          <w:tcPr>
            <w:tcW w:w="1544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公司名称</w:t>
            </w:r>
          </w:p>
        </w:tc>
        <w:tc>
          <w:tcPr>
            <w:tcW w:w="9002" w:type="dxa"/>
            <w:gridSpan w:val="6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D80A36">
        <w:trPr>
          <w:trHeight w:val="418"/>
        </w:trPr>
        <w:tc>
          <w:tcPr>
            <w:tcW w:w="1544" w:type="dxa"/>
            <w:tcBorders>
              <w:bottom w:val="nil"/>
            </w:tcBorders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联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系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人</w:t>
            </w:r>
          </w:p>
        </w:tc>
        <w:tc>
          <w:tcPr>
            <w:tcW w:w="2876" w:type="dxa"/>
            <w:gridSpan w:val="3"/>
            <w:tcBorders>
              <w:bottom w:val="nil"/>
            </w:tcBorders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441" w:type="dxa"/>
            <w:tcBorders>
              <w:bottom w:val="nil"/>
            </w:tcBorders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部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  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门</w:t>
            </w:r>
          </w:p>
        </w:tc>
        <w:tc>
          <w:tcPr>
            <w:tcW w:w="4685" w:type="dxa"/>
            <w:gridSpan w:val="2"/>
            <w:tcBorders>
              <w:bottom w:val="nil"/>
            </w:tcBorders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D80A36">
        <w:trPr>
          <w:trHeight w:val="397"/>
        </w:trPr>
        <w:tc>
          <w:tcPr>
            <w:tcW w:w="1544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电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  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话</w:t>
            </w:r>
          </w:p>
        </w:tc>
        <w:tc>
          <w:tcPr>
            <w:tcW w:w="2876" w:type="dxa"/>
            <w:gridSpan w:val="3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441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手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  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机</w:t>
            </w:r>
          </w:p>
        </w:tc>
        <w:tc>
          <w:tcPr>
            <w:tcW w:w="4685" w:type="dxa"/>
            <w:gridSpan w:val="2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D80A36">
        <w:trPr>
          <w:trHeight w:val="459"/>
        </w:trPr>
        <w:tc>
          <w:tcPr>
            <w:tcW w:w="1544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传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  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真</w:t>
            </w:r>
          </w:p>
        </w:tc>
        <w:tc>
          <w:tcPr>
            <w:tcW w:w="2876" w:type="dxa"/>
            <w:gridSpan w:val="3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441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/>
                <w:bCs/>
                <w:sz w:val="20"/>
              </w:rPr>
              <w:t xml:space="preserve">E-Mail </w:t>
            </w:r>
          </w:p>
        </w:tc>
        <w:tc>
          <w:tcPr>
            <w:tcW w:w="4685" w:type="dxa"/>
            <w:gridSpan w:val="2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D80A36">
        <w:trPr>
          <w:trHeight w:val="403"/>
        </w:trPr>
        <w:tc>
          <w:tcPr>
            <w:tcW w:w="1544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参会学员姓名</w:t>
            </w:r>
          </w:p>
        </w:tc>
        <w:tc>
          <w:tcPr>
            <w:tcW w:w="1981" w:type="dxa"/>
            <w:gridSpan w:val="2"/>
            <w:vAlign w:val="center"/>
          </w:tcPr>
          <w:p w:rsidR="00D80A36" w:rsidRDefault="00D80A36">
            <w:pPr>
              <w:jc w:val="center"/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职务</w:t>
            </w:r>
          </w:p>
        </w:tc>
        <w:tc>
          <w:tcPr>
            <w:tcW w:w="895" w:type="dxa"/>
            <w:vAlign w:val="center"/>
          </w:tcPr>
          <w:p w:rsidR="00D80A36" w:rsidRDefault="00D80A36">
            <w:pPr>
              <w:jc w:val="center"/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性别</w:t>
            </w:r>
          </w:p>
        </w:tc>
        <w:tc>
          <w:tcPr>
            <w:tcW w:w="2241" w:type="dxa"/>
            <w:gridSpan w:val="2"/>
            <w:vAlign w:val="center"/>
          </w:tcPr>
          <w:p w:rsidR="00D80A36" w:rsidRDefault="00D80A36">
            <w:pPr>
              <w:jc w:val="center"/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联系电话</w:t>
            </w:r>
            <w:r>
              <w:rPr>
                <w:rFonts w:ascii="新宋体" w:eastAsia="新宋体" w:hAnsi="新宋体" w:cs="Arial"/>
                <w:bCs/>
                <w:sz w:val="20"/>
              </w:rPr>
              <w:t>&amp;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手机</w:t>
            </w:r>
          </w:p>
        </w:tc>
        <w:tc>
          <w:tcPr>
            <w:tcW w:w="3885" w:type="dxa"/>
            <w:vAlign w:val="center"/>
          </w:tcPr>
          <w:p w:rsidR="00D80A36" w:rsidRDefault="00D80A36">
            <w:pPr>
              <w:jc w:val="center"/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/>
                <w:bCs/>
                <w:sz w:val="20"/>
              </w:rPr>
              <w:t>Email</w:t>
            </w:r>
          </w:p>
        </w:tc>
      </w:tr>
      <w:tr w:rsidR="00D80A36">
        <w:trPr>
          <w:trHeight w:val="403"/>
        </w:trPr>
        <w:tc>
          <w:tcPr>
            <w:tcW w:w="1544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895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2241" w:type="dxa"/>
            <w:gridSpan w:val="2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3885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D80A36">
        <w:trPr>
          <w:trHeight w:val="403"/>
        </w:trPr>
        <w:tc>
          <w:tcPr>
            <w:tcW w:w="1544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895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2241" w:type="dxa"/>
            <w:gridSpan w:val="2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3885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D80A36">
        <w:trPr>
          <w:trHeight w:val="403"/>
        </w:trPr>
        <w:tc>
          <w:tcPr>
            <w:tcW w:w="1544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895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2241" w:type="dxa"/>
            <w:gridSpan w:val="2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3885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D80A36">
        <w:trPr>
          <w:trHeight w:val="512"/>
        </w:trPr>
        <w:tc>
          <w:tcPr>
            <w:tcW w:w="2433" w:type="dxa"/>
            <w:gridSpan w:val="2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参会人数：</w:t>
            </w:r>
            <w:r>
              <w:rPr>
                <w:rFonts w:ascii="新宋体" w:eastAsia="新宋体" w:hAnsi="新宋体" w:cs="Arial"/>
                <w:bCs/>
                <w:sz w:val="20"/>
                <w:u w:val="single"/>
              </w:rPr>
              <w:t xml:space="preserve">     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人</w:t>
            </w:r>
          </w:p>
        </w:tc>
        <w:tc>
          <w:tcPr>
            <w:tcW w:w="4228" w:type="dxa"/>
            <w:gridSpan w:val="4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付款方式：</w:t>
            </w:r>
            <w:r>
              <w:rPr>
                <w:rFonts w:ascii="新宋体" w:eastAsia="新宋体" w:hAnsi="新宋体" w:cs="Arial"/>
                <w:bCs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9.5pt;height:12.75pt;mso-position-horizontal-relative:page;mso-position-vertical-relative:page">
                  <v:imagedata r:id="rId6" o:title=""/>
                </v:shape>
              </w:pict>
            </w:r>
            <w:r>
              <w:rPr>
                <w:rFonts w:ascii="新宋体" w:eastAsia="新宋体" w:hAnsi="新宋体" w:cs="Arial" w:hint="eastAsia"/>
                <w:color w:val="000000"/>
                <w:kern w:val="0"/>
                <w:sz w:val="20"/>
              </w:rPr>
              <w:t xml:space="preserve">现金　</w:t>
            </w:r>
            <w:r>
              <w:rPr>
                <w:rFonts w:ascii="新宋体" w:eastAsia="新宋体" w:hAnsi="新宋体" w:cs="Arial"/>
                <w:color w:val="000000"/>
                <w:kern w:val="0"/>
                <w:sz w:val="20"/>
              </w:rPr>
              <w:pict>
                <v:shape id="图片 2" o:spid="_x0000_i1026" type="#_x0000_t75" style="width:19.5pt;height:12.75pt;mso-position-horizontal-relative:page;mso-position-vertical-relative:page">
                  <v:imagedata r:id="rId7" o:title=""/>
                </v:shape>
              </w:pict>
            </w:r>
            <w:r>
              <w:rPr>
                <w:rFonts w:ascii="新宋体" w:eastAsia="新宋体" w:hAnsi="新宋体" w:cs="Arial" w:hint="eastAsia"/>
                <w:color w:val="000000"/>
                <w:kern w:val="0"/>
                <w:sz w:val="20"/>
              </w:rPr>
              <w:t xml:space="preserve">支票　</w:t>
            </w:r>
            <w:r>
              <w:rPr>
                <w:rFonts w:ascii="新宋体" w:eastAsia="新宋体" w:hAnsi="新宋体" w:cs="Arial"/>
                <w:color w:val="000000"/>
                <w:kern w:val="0"/>
                <w:sz w:val="20"/>
              </w:rPr>
              <w:pict>
                <v:shape id="图片 3" o:spid="_x0000_i1027" type="#_x0000_t75" style="width:19.5pt;height:12.75pt;mso-position-horizontal-relative:page;mso-position-vertical-relative:page">
                  <v:imagedata r:id="rId7" o:title=""/>
                </v:shape>
              </w:pict>
            </w:r>
            <w:r>
              <w:rPr>
                <w:rFonts w:ascii="新宋体" w:eastAsia="新宋体" w:hAnsi="新宋体" w:cs="Arial" w:hint="eastAsia"/>
                <w:color w:val="000000"/>
                <w:kern w:val="0"/>
                <w:sz w:val="20"/>
              </w:rPr>
              <w:t>转帐</w:t>
            </w:r>
          </w:p>
        </w:tc>
        <w:tc>
          <w:tcPr>
            <w:tcW w:w="3885" w:type="dxa"/>
            <w:vAlign w:val="center"/>
          </w:tcPr>
          <w:p w:rsidR="00D80A36" w:rsidRDefault="00D80A36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color w:val="000000"/>
                <w:kern w:val="0"/>
                <w:sz w:val="20"/>
              </w:rPr>
              <w:t>费用合计：</w:t>
            </w:r>
            <w:r>
              <w:rPr>
                <w:rFonts w:ascii="新宋体" w:eastAsia="新宋体" w:hAnsi="新宋体" w:hint="eastAsia"/>
                <w:sz w:val="20"/>
              </w:rPr>
              <w:t>￥</w:t>
            </w:r>
            <w:r>
              <w:rPr>
                <w:rFonts w:ascii="新宋体" w:eastAsia="新宋体" w:hAnsi="新宋体"/>
                <w:sz w:val="20"/>
                <w:u w:val="single"/>
              </w:rPr>
              <w:t xml:space="preserve">            </w:t>
            </w:r>
            <w:r>
              <w:rPr>
                <w:rFonts w:ascii="新宋体" w:eastAsia="新宋体" w:hAnsi="新宋体" w:hint="eastAsia"/>
                <w:sz w:val="20"/>
              </w:rPr>
              <w:t>元</w:t>
            </w:r>
            <w:r>
              <w:rPr>
                <w:rFonts w:ascii="新宋体" w:eastAsia="新宋体" w:hAnsi="新宋体"/>
                <w:sz w:val="20"/>
              </w:rPr>
              <w:t>/</w:t>
            </w:r>
            <w:r>
              <w:rPr>
                <w:rFonts w:ascii="新宋体" w:eastAsia="新宋体" w:hAnsi="新宋体" w:hint="eastAsia"/>
                <w:sz w:val="20"/>
              </w:rPr>
              <w:t>人</w:t>
            </w:r>
          </w:p>
        </w:tc>
      </w:tr>
    </w:tbl>
    <w:p w:rsidR="00D80A36" w:rsidRDefault="00D80A36">
      <w:pPr>
        <w:pStyle w:val="HTMLBottomofForm"/>
      </w:pPr>
      <w:r>
        <w:rPr>
          <w:rFonts w:hint="eastAsia"/>
        </w:rPr>
        <w:t>窗体底端</w:t>
      </w:r>
    </w:p>
    <w:p w:rsidR="00D80A36" w:rsidRPr="00963DA3" w:rsidRDefault="00D80A36" w:rsidP="00963DA3">
      <w:pPr>
        <w:spacing w:beforeLines="18"/>
        <w:rPr>
          <w:rFonts w:ascii="新宋体" w:eastAsia="新宋体" w:hAnsi="新宋体" w:hint="eastAsia"/>
          <w:sz w:val="20"/>
        </w:rPr>
      </w:pPr>
    </w:p>
    <w:sectPr w:rsidR="00D80A36" w:rsidRPr="00963DA3">
      <w:headerReference w:type="default" r:id="rId8"/>
      <w:footerReference w:type="even" r:id="rId9"/>
      <w:footerReference w:type="default" r:id="rId10"/>
      <w:pgSz w:w="11906" w:h="16838"/>
      <w:pgMar w:top="92" w:right="746" w:bottom="779" w:left="720" w:header="468" w:footer="59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89D" w:rsidRDefault="00B2489D">
      <w:r>
        <w:separator/>
      </w:r>
    </w:p>
  </w:endnote>
  <w:endnote w:type="continuationSeparator" w:id="1">
    <w:p w:rsidR="00B2489D" w:rsidRDefault="00B2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粗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36" w:rsidRDefault="00D80A36">
    <w:pPr>
      <w:pStyle w:val="a7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D80A36" w:rsidRDefault="00D80A3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36" w:rsidRDefault="00D80A36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89D" w:rsidRDefault="00B2489D">
      <w:r>
        <w:separator/>
      </w:r>
    </w:p>
  </w:footnote>
  <w:footnote w:type="continuationSeparator" w:id="1">
    <w:p w:rsidR="00B2489D" w:rsidRDefault="00B24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36" w:rsidRDefault="00D80A36">
    <w:pPr>
      <w:spacing w:line="260" w:lineRule="exact"/>
      <w:jc w:val="right"/>
      <w:rPr>
        <w:rFonts w:hint="eastAsia"/>
      </w:rPr>
    </w:pPr>
    <w:r>
      <w:rPr>
        <w:sz w:val="20"/>
        <w:lang w:val="en-US" w:eastAsia="zh-CN"/>
      </w:rPr>
      <w:pict>
        <v:line id="直线 3" o:spid="_x0000_s2051" style="position:absolute;left:0;text-align:left;flip:x;z-index:1" from="0,5.35pt" to="522pt,5.35pt" strokeweight=".25pt"/>
      </w:pict>
    </w: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3C3B17"/>
    <w:rsid w:val="00963DA3"/>
    <w:rsid w:val="00B2489D"/>
    <w:rsid w:val="00D80A36"/>
    <w:rsid w:val="0B6A3AA5"/>
    <w:rsid w:val="6DAD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黑体"/>
      <w:b/>
      <w:bCs/>
      <w:sz w:val="32"/>
    </w:rPr>
  </w:style>
  <w:style w:type="paragraph" w:styleId="4">
    <w:name w:val="heading 4"/>
    <w:basedOn w:val="a"/>
    <w:next w:val="a"/>
    <w:qFormat/>
    <w:pPr>
      <w:keepNext/>
      <w:ind w:firstLineChars="200" w:firstLine="413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firstLineChars="100" w:firstLine="207"/>
      <w:jc w:val="center"/>
      <w:outlineLvl w:val="4"/>
    </w:pPr>
    <w:rPr>
      <w:b/>
      <w:bCs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unnamed11">
    <w:name w:val="unnamed11"/>
    <w:rPr>
      <w:color w:val="000000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BottomofForm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600" w:lineRule="exact"/>
      <w:ind w:firstLineChars="56" w:firstLine="202"/>
    </w:pPr>
    <w:rPr>
      <w:rFonts w:eastAsia="黑体"/>
      <w:b/>
      <w:bCs/>
      <w:sz w:val="36"/>
    </w:rPr>
  </w:style>
  <w:style w:type="paragraph" w:customStyle="1" w:styleId="header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Body Text"/>
    <w:basedOn w:val="a"/>
    <w:rPr>
      <w:sz w:val="24"/>
    </w:rPr>
  </w:style>
  <w:style w:type="paragraph" w:customStyle="1" w:styleId="HTMLTopofForm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a">
    <w:name w:val="字元"/>
    <w:basedOn w:val="a"/>
    <w:pPr>
      <w:widowControl/>
      <w:spacing w:after="160" w:line="240" w:lineRule="exact"/>
      <w:jc w:val="left"/>
    </w:p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2731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Manager/>
  <Company>answer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中培确认函</dc:title>
  <dc:subject/>
  <dc:creator>chinacpx.com</dc:creator>
  <cp:keywords/>
  <dc:description/>
  <cp:lastModifiedBy>微软用户</cp:lastModifiedBy>
  <cp:revision>2</cp:revision>
  <cp:lastPrinted>2010-08-27T02:32:00Z</cp:lastPrinted>
  <dcterms:created xsi:type="dcterms:W3CDTF">2017-04-11T11:44:00Z</dcterms:created>
  <dcterms:modified xsi:type="dcterms:W3CDTF">2017-04-11T11:44:00Z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